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4F68" w14:textId="77777777" w:rsidR="00C028E5" w:rsidRDefault="00C028E5" w:rsidP="00093136">
      <w:pPr>
        <w:spacing w:after="0" w:line="240" w:lineRule="auto"/>
        <w:rPr>
          <w:lang w:val="fr-FR"/>
        </w:rPr>
      </w:pPr>
      <w:r w:rsidRPr="00C028E5">
        <w:rPr>
          <w:lang w:val="fr-FR"/>
        </w:rPr>
        <w:t xml:space="preserve">Modèle </w:t>
      </w:r>
      <w:r>
        <w:rPr>
          <w:lang w:val="fr-FR"/>
        </w:rPr>
        <w:t>pour la</w:t>
      </w:r>
      <w:r w:rsidRPr="00C028E5">
        <w:rPr>
          <w:lang w:val="fr-FR"/>
        </w:rPr>
        <w:t xml:space="preserve"> soumission</w:t>
      </w:r>
    </w:p>
    <w:p w14:paraId="6EA6810A" w14:textId="77777777" w:rsidR="00C028E5" w:rsidRDefault="00C028E5" w:rsidP="00093136">
      <w:pPr>
        <w:spacing w:after="0" w:line="240" w:lineRule="auto"/>
        <w:rPr>
          <w:lang w:val="fr-FR"/>
        </w:rPr>
      </w:pPr>
    </w:p>
    <w:p w14:paraId="58E42CFC" w14:textId="2F88603D" w:rsidR="00093136" w:rsidRPr="00A7542D" w:rsidRDefault="00093136" w:rsidP="00093136">
      <w:pPr>
        <w:spacing w:after="0" w:line="240" w:lineRule="auto"/>
        <w:rPr>
          <w:rFonts w:ascii="Calibri" w:hAnsi="Calibri" w:cs="Calibri"/>
          <w:b/>
          <w:color w:val="000000" w:themeColor="text1"/>
          <w:sz w:val="28"/>
          <w:szCs w:val="28"/>
          <w:lang w:val="fr-FR"/>
        </w:rPr>
      </w:pPr>
      <w:r w:rsidRPr="00822F1F">
        <w:rPr>
          <w:b/>
          <w:bCs/>
          <w:i/>
          <w:iCs/>
          <w:lang w:val="fr-FR"/>
        </w:rPr>
        <w:t>S</w:t>
      </w:r>
      <w:r w:rsidR="00D863C1" w:rsidRPr="00822F1F">
        <w:rPr>
          <w:b/>
          <w:bCs/>
          <w:i/>
          <w:iCs/>
          <w:lang w:val="fr-FR"/>
        </w:rPr>
        <w:t>SFE</w:t>
      </w:r>
      <w:r w:rsidRPr="00822F1F">
        <w:rPr>
          <w:b/>
          <w:bCs/>
          <w:i/>
          <w:iCs/>
          <w:lang w:val="fr-FR"/>
        </w:rPr>
        <w:t xml:space="preserve"> INITIALE</w:t>
      </w:r>
      <w:r w:rsidRPr="00A7542D">
        <w:rPr>
          <w:lang w:val="fr-FR"/>
        </w:rPr>
        <w:t xml:space="preserve"> </w:t>
      </w:r>
      <w:r w:rsidRPr="00822F1F">
        <w:rPr>
          <w:b/>
          <w:bCs/>
          <w:lang w:val="fr-FR"/>
        </w:rPr>
        <w:t xml:space="preserve">– Prix suisse de l’enseignement pour les collaborateurs et collaboratrices dans la formation </w:t>
      </w:r>
      <w:r w:rsidRPr="004511BA">
        <w:rPr>
          <w:b/>
          <w:bCs/>
          <w:lang w:val="fr-FR"/>
        </w:rPr>
        <w:t xml:space="preserve">des </w:t>
      </w:r>
      <w:r w:rsidR="004511BA" w:rsidRPr="004511BA">
        <w:rPr>
          <w:b/>
          <w:bCs/>
          <w:lang w:val="fr-FR"/>
        </w:rPr>
        <w:t>enseignant·e·s</w:t>
      </w:r>
    </w:p>
    <w:p w14:paraId="449EA78C" w14:textId="77777777" w:rsidR="00093136" w:rsidRPr="00A7542D" w:rsidRDefault="00093136">
      <w:pPr>
        <w:rPr>
          <w:rFonts w:ascii="Calibri" w:hAnsi="Calibri" w:cs="Calibri"/>
          <w:lang w:val="fr-FR"/>
        </w:rPr>
      </w:pPr>
    </w:p>
    <w:tbl>
      <w:tblPr>
        <w:tblStyle w:val="Tabellenraster"/>
        <w:tblW w:w="0" w:type="auto"/>
        <w:tblLook w:val="04A0" w:firstRow="1" w:lastRow="0" w:firstColumn="1" w:lastColumn="0" w:noHBand="0" w:noVBand="1"/>
      </w:tblPr>
      <w:tblGrid>
        <w:gridCol w:w="3397"/>
        <w:gridCol w:w="5619"/>
      </w:tblGrid>
      <w:tr w:rsidR="00093136" w:rsidRPr="004B0BC8" w14:paraId="150BC8DC" w14:textId="77777777" w:rsidTr="00093136">
        <w:tc>
          <w:tcPr>
            <w:tcW w:w="3397" w:type="dxa"/>
          </w:tcPr>
          <w:p w14:paraId="158E8432" w14:textId="77777777" w:rsidR="00FE23B1" w:rsidRPr="00574E8E" w:rsidRDefault="00592C85">
            <w:pPr>
              <w:rPr>
                <w:b/>
                <w:bCs/>
              </w:rPr>
            </w:pPr>
            <w:r w:rsidRPr="00574E8E">
              <w:rPr>
                <w:b/>
                <w:bCs/>
              </w:rPr>
              <w:t>Titre du projet</w:t>
            </w:r>
          </w:p>
        </w:tc>
        <w:tc>
          <w:tcPr>
            <w:tcW w:w="5619" w:type="dxa"/>
          </w:tcPr>
          <w:p w14:paraId="17723FF1" w14:textId="77777777" w:rsidR="00FE23B1" w:rsidRDefault="00FE23B1"/>
        </w:tc>
      </w:tr>
      <w:tr w:rsidR="00093136" w:rsidRPr="004B0BC8" w14:paraId="2EB1501C" w14:textId="77777777" w:rsidTr="00093136">
        <w:tc>
          <w:tcPr>
            <w:tcW w:w="3397" w:type="dxa"/>
          </w:tcPr>
          <w:p w14:paraId="00255E44" w14:textId="13ED3B1C" w:rsidR="00FE23B1" w:rsidRPr="00574E8E" w:rsidRDefault="00592C85">
            <w:pPr>
              <w:rPr>
                <w:b/>
                <w:bCs/>
              </w:rPr>
            </w:pPr>
            <w:r w:rsidRPr="00574E8E">
              <w:rPr>
                <w:b/>
                <w:bCs/>
              </w:rPr>
              <w:t>Personne(s)</w:t>
            </w:r>
            <w:r w:rsidR="00CD4B40" w:rsidRPr="00574E8E">
              <w:rPr>
                <w:b/>
                <w:bCs/>
              </w:rPr>
              <w:t xml:space="preserve"> responsable(s)</w:t>
            </w:r>
          </w:p>
        </w:tc>
        <w:tc>
          <w:tcPr>
            <w:tcW w:w="5619" w:type="dxa"/>
          </w:tcPr>
          <w:p w14:paraId="349E0EFA" w14:textId="77777777" w:rsidR="00FE23B1" w:rsidRDefault="00FE23B1"/>
        </w:tc>
      </w:tr>
      <w:tr w:rsidR="00093136" w:rsidRPr="004B0BC8" w14:paraId="353862E0" w14:textId="77777777" w:rsidTr="00093136">
        <w:tc>
          <w:tcPr>
            <w:tcW w:w="3397" w:type="dxa"/>
          </w:tcPr>
          <w:p w14:paraId="635B0861" w14:textId="77777777" w:rsidR="00FE23B1" w:rsidRPr="00574E8E" w:rsidRDefault="00592C85">
            <w:pPr>
              <w:rPr>
                <w:b/>
                <w:bCs/>
              </w:rPr>
            </w:pPr>
            <w:r w:rsidRPr="00574E8E">
              <w:rPr>
                <w:b/>
                <w:bCs/>
              </w:rPr>
              <w:t>Institution(s)</w:t>
            </w:r>
          </w:p>
        </w:tc>
        <w:tc>
          <w:tcPr>
            <w:tcW w:w="5619" w:type="dxa"/>
          </w:tcPr>
          <w:p w14:paraId="365D52A5" w14:textId="77777777" w:rsidR="00FE23B1" w:rsidRDefault="00FE23B1"/>
        </w:tc>
      </w:tr>
    </w:tbl>
    <w:p w14:paraId="4F360A89" w14:textId="77777777" w:rsidR="00093136" w:rsidRPr="004B0BC8" w:rsidRDefault="00093136">
      <w:pPr>
        <w:rPr>
          <w:rFonts w:ascii="Calibri" w:hAnsi="Calibri" w:cs="Calibri"/>
        </w:rPr>
      </w:pPr>
    </w:p>
    <w:p w14:paraId="5B0AB388" w14:textId="71A9DDEF" w:rsidR="00A7542D" w:rsidRDefault="00A7542D">
      <w:pPr>
        <w:rPr>
          <w:lang w:val="fr-FR"/>
        </w:rPr>
      </w:pPr>
      <w:r w:rsidRPr="00A7542D">
        <w:rPr>
          <w:lang w:val="fr-FR"/>
        </w:rPr>
        <w:t xml:space="preserve">En soumettant le projet, les </w:t>
      </w:r>
      <w:r w:rsidR="00822F1F">
        <w:rPr>
          <w:lang w:val="fr-FR"/>
        </w:rPr>
        <w:t>personnes</w:t>
      </w:r>
      <w:r w:rsidRPr="00A7542D">
        <w:rPr>
          <w:lang w:val="fr-FR"/>
        </w:rPr>
        <w:t xml:space="preserve"> confirment avoir lu les modalités de l’appel à projets (« Concept et description ») et acceptent en particulier la publication des informations indiquées ci-dessus (titre, </w:t>
      </w:r>
      <w:r w:rsidR="00CD4B40">
        <w:rPr>
          <w:lang w:val="fr-FR"/>
        </w:rPr>
        <w:t>responsable(s)</w:t>
      </w:r>
      <w:r w:rsidRPr="00A7542D">
        <w:rPr>
          <w:lang w:val="fr-FR"/>
        </w:rPr>
        <w:t xml:space="preserve">, institutions) (voir </w:t>
      </w:r>
      <w:hyperlink r:id="rId10" w:history="1">
        <w:r w:rsidR="00116014" w:rsidRPr="001728B2">
          <w:rPr>
            <w:rStyle w:val="Hyperlink"/>
            <w:lang w:val="fr-FR"/>
          </w:rPr>
          <w:t>ic</w:t>
        </w:r>
        <w:r w:rsidR="00116014" w:rsidRPr="001728B2">
          <w:rPr>
            <w:rStyle w:val="Hyperlink"/>
            <w:lang w:val="fr-FR"/>
          </w:rPr>
          <w:t>i</w:t>
        </w:r>
        <w:r w:rsidR="00116014" w:rsidRPr="001728B2">
          <w:rPr>
            <w:rStyle w:val="Hyperlink"/>
            <w:lang w:val="fr-FR"/>
          </w:rPr>
          <w:t xml:space="preserve"> </w:t>
        </w:r>
      </w:hyperlink>
      <w:r w:rsidRPr="00A7542D">
        <w:rPr>
          <w:lang w:val="fr-FR"/>
        </w:rPr>
        <w:t>la distinction de l’année précédente).</w:t>
      </w:r>
    </w:p>
    <w:p w14:paraId="75A89E4B" w14:textId="61160026" w:rsidR="00093136" w:rsidRPr="00A7542D" w:rsidRDefault="00093136">
      <w:pPr>
        <w:rPr>
          <w:rFonts w:ascii="Calibri" w:hAnsi="Calibri" w:cs="Calibri"/>
          <w:lang w:val="fr-FR"/>
        </w:rPr>
      </w:pPr>
      <w:r w:rsidRPr="00A7542D">
        <w:rPr>
          <w:lang w:val="fr-FR"/>
        </w:rPr>
        <w:t xml:space="preserve">Description du projet [max. </w:t>
      </w:r>
      <w:r w:rsidR="00A7542D">
        <w:rPr>
          <w:lang w:val="fr-FR"/>
        </w:rPr>
        <w:t xml:space="preserve">quatre pages </w:t>
      </w:r>
      <w:r w:rsidRPr="00A7542D">
        <w:rPr>
          <w:lang w:val="fr-FR"/>
        </w:rPr>
        <w:t>A4]</w:t>
      </w:r>
    </w:p>
    <w:tbl>
      <w:tblPr>
        <w:tblStyle w:val="Tabellenraster"/>
        <w:tblW w:w="0" w:type="auto"/>
        <w:tblLook w:val="04A0" w:firstRow="1" w:lastRow="0" w:firstColumn="1" w:lastColumn="0" w:noHBand="0" w:noVBand="1"/>
      </w:tblPr>
      <w:tblGrid>
        <w:gridCol w:w="9016"/>
      </w:tblGrid>
      <w:tr w:rsidR="00377ED9" w:rsidRPr="004B0BC8" w14:paraId="48836CE0" w14:textId="77777777" w:rsidTr="00377ED9">
        <w:tc>
          <w:tcPr>
            <w:tcW w:w="9016" w:type="dxa"/>
          </w:tcPr>
          <w:p w14:paraId="60CD8C12" w14:textId="77777777" w:rsidR="00FE23B1" w:rsidRPr="00574E8E" w:rsidRDefault="00592C85">
            <w:pPr>
              <w:rPr>
                <w:b/>
                <w:bCs/>
              </w:rPr>
            </w:pPr>
            <w:r w:rsidRPr="00574E8E">
              <w:rPr>
                <w:b/>
                <w:bCs/>
              </w:rPr>
              <w:t>Bref exposé du problème :</w:t>
            </w:r>
            <w:r w:rsidRPr="00574E8E">
              <w:rPr>
                <w:b/>
                <w:bCs/>
              </w:rPr>
              <w:br/>
            </w:r>
            <w:r w:rsidRPr="00574E8E">
              <w:rPr>
                <w:b/>
                <w:bCs/>
              </w:rPr>
              <w:br/>
            </w:r>
          </w:p>
        </w:tc>
      </w:tr>
      <w:tr w:rsidR="00377ED9" w:rsidRPr="004B0BC8" w14:paraId="66F0EF79" w14:textId="77777777" w:rsidTr="00377ED9">
        <w:tc>
          <w:tcPr>
            <w:tcW w:w="9016" w:type="dxa"/>
          </w:tcPr>
          <w:p w14:paraId="74F49B26" w14:textId="77777777" w:rsidR="00FE23B1" w:rsidRPr="00574E8E" w:rsidRDefault="00592C85">
            <w:pPr>
              <w:rPr>
                <w:b/>
                <w:bCs/>
              </w:rPr>
            </w:pPr>
            <w:r w:rsidRPr="00574E8E">
              <w:rPr>
                <w:b/>
                <w:bCs/>
              </w:rPr>
              <w:t>Ancrage théorique du projet :</w:t>
            </w:r>
            <w:r w:rsidRPr="00574E8E">
              <w:rPr>
                <w:b/>
                <w:bCs/>
              </w:rPr>
              <w:br/>
            </w:r>
            <w:r w:rsidRPr="00574E8E">
              <w:rPr>
                <w:b/>
                <w:bCs/>
              </w:rPr>
              <w:br/>
            </w:r>
          </w:p>
        </w:tc>
      </w:tr>
      <w:tr w:rsidR="00377ED9" w:rsidRPr="004B0BC8" w14:paraId="14F0E6E7" w14:textId="77777777" w:rsidTr="00377ED9">
        <w:tc>
          <w:tcPr>
            <w:tcW w:w="9016" w:type="dxa"/>
          </w:tcPr>
          <w:p w14:paraId="441FD9BC" w14:textId="208D48C2" w:rsidR="00FE23B1" w:rsidRPr="00574E8E" w:rsidRDefault="00592C85">
            <w:pPr>
              <w:rPr>
                <w:b/>
                <w:bCs/>
              </w:rPr>
            </w:pPr>
            <w:r w:rsidRPr="00574E8E">
              <w:rPr>
                <w:b/>
                <w:bCs/>
              </w:rPr>
              <w:t xml:space="preserve">Objectifs </w:t>
            </w:r>
            <w:r w:rsidR="003A1360" w:rsidRPr="00574E8E">
              <w:rPr>
                <w:b/>
                <w:bCs/>
              </w:rPr>
              <w:t>du projet</w:t>
            </w:r>
            <w:r w:rsidRPr="00574E8E">
              <w:rPr>
                <w:b/>
                <w:bCs/>
              </w:rPr>
              <w:t>:</w:t>
            </w:r>
            <w:r w:rsidRPr="00574E8E">
              <w:rPr>
                <w:b/>
                <w:bCs/>
              </w:rPr>
              <w:br/>
            </w:r>
            <w:r w:rsidRPr="00574E8E">
              <w:rPr>
                <w:b/>
                <w:bCs/>
              </w:rPr>
              <w:br/>
            </w:r>
          </w:p>
        </w:tc>
      </w:tr>
      <w:tr w:rsidR="00377ED9" w:rsidRPr="001728B2" w14:paraId="68056330" w14:textId="77777777" w:rsidTr="00377ED9">
        <w:tc>
          <w:tcPr>
            <w:tcW w:w="9016" w:type="dxa"/>
          </w:tcPr>
          <w:p w14:paraId="78D6EB14" w14:textId="77777777" w:rsidR="00FE23B1" w:rsidRPr="00574E8E" w:rsidRDefault="00592C85">
            <w:pPr>
              <w:rPr>
                <w:b/>
                <w:bCs/>
                <w:lang w:val="fr-FR"/>
              </w:rPr>
            </w:pPr>
            <w:r w:rsidRPr="00574E8E">
              <w:rPr>
                <w:b/>
                <w:bCs/>
                <w:lang w:val="fr-FR"/>
              </w:rPr>
              <w:t>Mise en œuvre avec jalons :</w:t>
            </w:r>
            <w:r w:rsidRPr="00574E8E">
              <w:rPr>
                <w:b/>
                <w:bCs/>
                <w:lang w:val="fr-FR"/>
              </w:rPr>
              <w:br/>
            </w:r>
            <w:r w:rsidRPr="00574E8E">
              <w:rPr>
                <w:b/>
                <w:bCs/>
                <w:lang w:val="fr-FR"/>
              </w:rPr>
              <w:br/>
            </w:r>
          </w:p>
        </w:tc>
      </w:tr>
      <w:tr w:rsidR="00377ED9" w:rsidRPr="004B0BC8" w14:paraId="6FAC1FF1" w14:textId="77777777" w:rsidTr="00377ED9">
        <w:tc>
          <w:tcPr>
            <w:tcW w:w="9016" w:type="dxa"/>
          </w:tcPr>
          <w:p w14:paraId="31BB0B45" w14:textId="77777777" w:rsidR="00FE23B1" w:rsidRPr="00574E8E" w:rsidRDefault="00592C85">
            <w:pPr>
              <w:rPr>
                <w:b/>
                <w:bCs/>
              </w:rPr>
            </w:pPr>
            <w:r w:rsidRPr="00574E8E">
              <w:rPr>
                <w:b/>
                <w:bCs/>
              </w:rPr>
              <w:t>Résultats :</w:t>
            </w:r>
            <w:r w:rsidRPr="00574E8E">
              <w:rPr>
                <w:b/>
                <w:bCs/>
              </w:rPr>
              <w:br/>
            </w:r>
            <w:r w:rsidRPr="00574E8E">
              <w:rPr>
                <w:b/>
                <w:bCs/>
              </w:rPr>
              <w:br/>
            </w:r>
          </w:p>
        </w:tc>
      </w:tr>
      <w:tr w:rsidR="00377ED9" w:rsidRPr="001728B2" w14:paraId="28E65765" w14:textId="77777777" w:rsidTr="00377ED9">
        <w:tc>
          <w:tcPr>
            <w:tcW w:w="9016" w:type="dxa"/>
          </w:tcPr>
          <w:p w14:paraId="39526480" w14:textId="5D4A8795" w:rsidR="00FE23B1" w:rsidRPr="00574E8E" w:rsidRDefault="00592C85">
            <w:pPr>
              <w:rPr>
                <w:b/>
                <w:bCs/>
                <w:lang w:val="fr-FR"/>
              </w:rPr>
            </w:pPr>
            <w:r w:rsidRPr="00574E8E">
              <w:rPr>
                <w:b/>
                <w:bCs/>
                <w:lang w:val="fr-FR"/>
              </w:rPr>
              <w:t xml:space="preserve">Utilité (pour les études, la formation continue, les institutions ou la formation des </w:t>
            </w:r>
            <w:r w:rsidR="004511BA" w:rsidRPr="004511BA">
              <w:rPr>
                <w:b/>
                <w:bCs/>
                <w:lang w:val="fr-FR"/>
              </w:rPr>
              <w:t>enseignant·e·s</w:t>
            </w:r>
            <w:r w:rsidRPr="00574E8E">
              <w:rPr>
                <w:b/>
                <w:bCs/>
                <w:lang w:val="fr-FR"/>
              </w:rPr>
              <w:t>) :</w:t>
            </w:r>
            <w:r w:rsidRPr="00574E8E">
              <w:rPr>
                <w:b/>
                <w:bCs/>
                <w:lang w:val="fr-FR"/>
              </w:rPr>
              <w:br/>
            </w:r>
            <w:r w:rsidRPr="00574E8E">
              <w:rPr>
                <w:b/>
                <w:bCs/>
                <w:lang w:val="fr-FR"/>
              </w:rPr>
              <w:br/>
            </w:r>
          </w:p>
        </w:tc>
      </w:tr>
      <w:tr w:rsidR="00377ED9" w:rsidRPr="001728B2" w14:paraId="2EA0FB66" w14:textId="77777777" w:rsidTr="00377ED9">
        <w:tc>
          <w:tcPr>
            <w:tcW w:w="9016" w:type="dxa"/>
          </w:tcPr>
          <w:p w14:paraId="2F5AF49F" w14:textId="77777777" w:rsidR="00FE23B1" w:rsidRDefault="00592C85">
            <w:pPr>
              <w:rPr>
                <w:b/>
                <w:bCs/>
                <w:lang w:val="fr-FR"/>
              </w:rPr>
            </w:pPr>
            <w:r w:rsidRPr="00574E8E">
              <w:rPr>
                <w:b/>
                <w:bCs/>
                <w:lang w:val="fr-FR"/>
              </w:rPr>
              <w:t>Exemples issus de la pratique :</w:t>
            </w:r>
            <w:r w:rsidRPr="00574E8E">
              <w:rPr>
                <w:b/>
                <w:bCs/>
                <w:lang w:val="fr-FR"/>
              </w:rPr>
              <w:br/>
            </w:r>
          </w:p>
          <w:p w14:paraId="27B38FD1" w14:textId="77777777" w:rsidR="00D11B74" w:rsidRPr="00574E8E" w:rsidRDefault="00D11B74">
            <w:pPr>
              <w:rPr>
                <w:b/>
                <w:bCs/>
                <w:lang w:val="fr-FR"/>
              </w:rPr>
            </w:pPr>
          </w:p>
        </w:tc>
      </w:tr>
    </w:tbl>
    <w:p w14:paraId="70D953EA" w14:textId="77777777" w:rsidR="00377ED9" w:rsidRPr="00A7542D" w:rsidRDefault="00377ED9">
      <w:pPr>
        <w:rPr>
          <w:rFonts w:ascii="Calibri" w:hAnsi="Calibri" w:cs="Calibri"/>
          <w:lang w:val="fr-FR"/>
        </w:rPr>
      </w:pPr>
    </w:p>
    <w:p w14:paraId="5C752C5F" w14:textId="3919DF64" w:rsidR="00F50F2E" w:rsidRDefault="00A7542D">
      <w:pPr>
        <w:rPr>
          <w:rFonts w:ascii="Calibri" w:hAnsi="Calibri" w:cs="Calibri"/>
          <w:i/>
          <w:iCs/>
          <w:lang w:val="fr-FR"/>
        </w:rPr>
      </w:pPr>
      <w:r w:rsidRPr="00D11B74">
        <w:rPr>
          <w:i/>
          <w:iCs/>
          <w:lang w:val="fr-FR"/>
        </w:rPr>
        <w:t>(Les indications suivantes servent d’information et peuvent être supprimées lors du dépôt. Elles figurent également dans le document Concept et description)</w:t>
      </w:r>
      <w:r w:rsidR="004B0BC8" w:rsidRPr="004416F1">
        <w:rPr>
          <w:i/>
          <w:iCs/>
          <w:lang w:val="fr-FR"/>
        </w:rPr>
        <w:br/>
      </w:r>
    </w:p>
    <w:p w14:paraId="2CF013B0" w14:textId="77777777" w:rsidR="00116014" w:rsidRPr="004416F1" w:rsidRDefault="00116014">
      <w:pPr>
        <w:rPr>
          <w:rFonts w:ascii="Calibri" w:hAnsi="Calibri" w:cs="Calibri"/>
          <w:i/>
          <w:iCs/>
          <w:lang w:val="fr-FR"/>
        </w:rPr>
      </w:pPr>
    </w:p>
    <w:p w14:paraId="163415CD" w14:textId="77777777" w:rsidR="004B0BC8" w:rsidRPr="00574E8E" w:rsidRDefault="004B0BC8" w:rsidP="004B0BC8">
      <w:pPr>
        <w:rPr>
          <w:rFonts w:ascii="Calibri" w:hAnsi="Calibri" w:cs="Calibri"/>
          <w:b/>
          <w:bCs/>
          <w:lang w:val="fr-FR"/>
        </w:rPr>
      </w:pPr>
      <w:r w:rsidRPr="00574E8E">
        <w:rPr>
          <w:b/>
          <w:bCs/>
          <w:lang w:val="fr-FR"/>
        </w:rPr>
        <w:t>Critères d’évaluation</w:t>
      </w:r>
    </w:p>
    <w:p w14:paraId="7A106E81" w14:textId="433EA1A7" w:rsidR="004B0BC8" w:rsidRPr="00C95B99" w:rsidRDefault="00A7542D" w:rsidP="004B0BC8">
      <w:pPr>
        <w:jc w:val="both"/>
        <w:rPr>
          <w:lang w:val="fr-FR"/>
        </w:rPr>
      </w:pPr>
      <w:r w:rsidRPr="00A7542D">
        <w:rPr>
          <w:lang w:val="fr-FR"/>
        </w:rPr>
        <w:t xml:space="preserve">Le projet </w:t>
      </w:r>
      <w:r w:rsidR="00C60DCB">
        <w:rPr>
          <w:lang w:val="fr-FR"/>
        </w:rPr>
        <w:t>a</w:t>
      </w:r>
      <w:r w:rsidRPr="00A7542D">
        <w:rPr>
          <w:lang w:val="fr-FR"/>
        </w:rPr>
        <w:t xml:space="preserve"> un caractère exemplaire pour le développement futur de la formation des </w:t>
      </w:r>
      <w:r w:rsidR="00DF6335" w:rsidRPr="00A7542D">
        <w:rPr>
          <w:lang w:val="fr-FR"/>
        </w:rPr>
        <w:t>enseignant·e·s</w:t>
      </w:r>
      <w:r w:rsidRPr="00A7542D">
        <w:rPr>
          <w:lang w:val="fr-FR"/>
        </w:rPr>
        <w:t xml:space="preserve">. Il aborde un défi actuel dans ce domaine et permet de montrer quelles pistes de solution peuvent être envisagées pour la conception des dispositifs de formation de demain. Le projet génère une valeur ajoutée à différents niveaux, par exemple en montrant comment optimiser le processus de professionnalisation des </w:t>
      </w:r>
      <w:r w:rsidR="00C95B99">
        <w:rPr>
          <w:lang w:val="fr-FR"/>
        </w:rPr>
        <w:t xml:space="preserve">futures </w:t>
      </w:r>
      <w:r w:rsidRPr="00A7542D">
        <w:rPr>
          <w:lang w:val="fr-FR"/>
        </w:rPr>
        <w:t>enseignant·e·s e</w:t>
      </w:r>
      <w:r w:rsidR="00C95B99">
        <w:rPr>
          <w:lang w:val="fr-FR"/>
        </w:rPr>
        <w:t xml:space="preserve">t des </w:t>
      </w:r>
      <w:r w:rsidR="00C95B99" w:rsidRPr="00A7542D">
        <w:rPr>
          <w:lang w:val="fr-FR"/>
        </w:rPr>
        <w:t>enseignant·e·s</w:t>
      </w:r>
      <w:r w:rsidR="00C95B99">
        <w:rPr>
          <w:lang w:val="fr-FR"/>
        </w:rPr>
        <w:t xml:space="preserve"> en poste,</w:t>
      </w:r>
      <w:r w:rsidRPr="00A7542D">
        <w:rPr>
          <w:lang w:val="fr-FR"/>
        </w:rPr>
        <w:t xml:space="preserve"> ou encore en améliorant une interface dans le système de formation initiale et continue. </w:t>
      </w:r>
      <w:r w:rsidRPr="00C95B99">
        <w:rPr>
          <w:lang w:val="fr-FR"/>
        </w:rPr>
        <w:t>Les critères d’évaluation sont :</w:t>
      </w:r>
    </w:p>
    <w:p w14:paraId="2481E930" w14:textId="77777777" w:rsidR="00A7542D" w:rsidRDefault="00A7542D" w:rsidP="004B0BC8">
      <w:pPr>
        <w:jc w:val="both"/>
        <w:rPr>
          <w:lang w:val="fr-FR"/>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5"/>
      </w:tblGrid>
      <w:tr w:rsidR="0064706E" w:rsidRPr="001728B2" w14:paraId="737D335C" w14:textId="77777777" w:rsidTr="00D11B74">
        <w:tc>
          <w:tcPr>
            <w:tcW w:w="2122" w:type="dxa"/>
          </w:tcPr>
          <w:p w14:paraId="6B8F408C" w14:textId="4AE437F9" w:rsidR="0064706E" w:rsidRDefault="0064706E" w:rsidP="0064706E">
            <w:pPr>
              <w:spacing w:after="240"/>
              <w:rPr>
                <w:lang w:val="fr-FR"/>
              </w:rPr>
            </w:pPr>
            <w:r w:rsidRPr="00A7542D">
              <w:rPr>
                <w:rFonts w:ascii="Calibri" w:hAnsi="Calibri" w:cs="Calibri"/>
                <w:b/>
                <w:bCs/>
                <w:lang w:val="fr-FR"/>
              </w:rPr>
              <w:t>Actualité</w:t>
            </w:r>
          </w:p>
        </w:tc>
        <w:tc>
          <w:tcPr>
            <w:tcW w:w="6945" w:type="dxa"/>
          </w:tcPr>
          <w:p w14:paraId="71AC210F" w14:textId="4FA2E415" w:rsidR="0064706E" w:rsidRDefault="0064706E" w:rsidP="0064706E">
            <w:pPr>
              <w:spacing w:after="240"/>
              <w:jc w:val="both"/>
              <w:rPr>
                <w:lang w:val="fr-FR"/>
              </w:rPr>
            </w:pPr>
            <w:r w:rsidRPr="00A7542D">
              <w:rPr>
                <w:rFonts w:ascii="Calibri" w:hAnsi="Calibri" w:cs="Calibri"/>
                <w:lang w:val="fr-FR"/>
              </w:rPr>
              <w:t xml:space="preserve">L’actualité des défis traités pour la formation des </w:t>
            </w:r>
            <w:r w:rsidRPr="00A7542D">
              <w:rPr>
                <w:lang w:val="fr-FR"/>
              </w:rPr>
              <w:t xml:space="preserve">enseignant·e·s </w:t>
            </w:r>
            <w:r w:rsidRPr="00A7542D">
              <w:rPr>
                <w:rFonts w:ascii="Calibri" w:hAnsi="Calibri" w:cs="Calibri"/>
                <w:lang w:val="fr-FR"/>
              </w:rPr>
              <w:t>est mise en évidence dans le projet.</w:t>
            </w:r>
          </w:p>
        </w:tc>
      </w:tr>
      <w:tr w:rsidR="0064706E" w:rsidRPr="001728B2" w14:paraId="15F9537C" w14:textId="77777777" w:rsidTr="00D11B74">
        <w:tc>
          <w:tcPr>
            <w:tcW w:w="2122" w:type="dxa"/>
          </w:tcPr>
          <w:p w14:paraId="25283474" w14:textId="58134BFD" w:rsidR="0064706E" w:rsidRDefault="0064706E" w:rsidP="0064706E">
            <w:pPr>
              <w:spacing w:after="240"/>
              <w:rPr>
                <w:lang w:val="fr-FR"/>
              </w:rPr>
            </w:pPr>
            <w:r w:rsidRPr="00A7542D">
              <w:rPr>
                <w:rFonts w:ascii="Calibri" w:hAnsi="Calibri" w:cs="Calibri"/>
                <w:b/>
                <w:bCs/>
                <w:lang w:val="fr-FR"/>
              </w:rPr>
              <w:t>Ancrage théorique</w:t>
            </w:r>
          </w:p>
        </w:tc>
        <w:tc>
          <w:tcPr>
            <w:tcW w:w="6945" w:type="dxa"/>
          </w:tcPr>
          <w:p w14:paraId="12710C80" w14:textId="71D494C8" w:rsidR="0064706E" w:rsidRDefault="0064706E" w:rsidP="0064706E">
            <w:pPr>
              <w:spacing w:after="240"/>
              <w:jc w:val="both"/>
              <w:rPr>
                <w:lang w:val="fr-FR"/>
              </w:rPr>
            </w:pPr>
            <w:r w:rsidRPr="00A7542D">
              <w:rPr>
                <w:rFonts w:ascii="Calibri" w:hAnsi="Calibri" w:cs="Calibri"/>
                <w:lang w:val="fr-FR"/>
              </w:rPr>
              <w:t>La description du projet est solidement et finement fondée sur des bases théoriques et reprend des desiderata issus de la littérature</w:t>
            </w:r>
            <w:r>
              <w:rPr>
                <w:rFonts w:ascii="Calibri" w:hAnsi="Calibri" w:cs="Calibri"/>
                <w:lang w:val="fr-FR"/>
              </w:rPr>
              <w:t>.</w:t>
            </w:r>
          </w:p>
        </w:tc>
      </w:tr>
      <w:tr w:rsidR="0064706E" w:rsidRPr="001728B2" w14:paraId="7C12ABAC" w14:textId="77777777" w:rsidTr="00D11B74">
        <w:tc>
          <w:tcPr>
            <w:tcW w:w="2122" w:type="dxa"/>
          </w:tcPr>
          <w:p w14:paraId="19046C61" w14:textId="29EFA143" w:rsidR="0064706E" w:rsidRDefault="0064706E" w:rsidP="0064706E">
            <w:pPr>
              <w:spacing w:after="240"/>
              <w:rPr>
                <w:lang w:val="fr-FR"/>
              </w:rPr>
            </w:pPr>
            <w:r w:rsidRPr="00A7542D">
              <w:rPr>
                <w:rFonts w:ascii="Calibri" w:hAnsi="Calibri" w:cs="Calibri"/>
                <w:b/>
                <w:bCs/>
                <w:lang w:val="fr-FR"/>
              </w:rPr>
              <w:t>Collaboration</w:t>
            </w:r>
          </w:p>
        </w:tc>
        <w:tc>
          <w:tcPr>
            <w:tcW w:w="6945" w:type="dxa"/>
          </w:tcPr>
          <w:p w14:paraId="59BE7EC8" w14:textId="208069E3" w:rsidR="0064706E" w:rsidRDefault="0064706E" w:rsidP="0064706E">
            <w:pPr>
              <w:spacing w:after="240"/>
              <w:jc w:val="both"/>
              <w:rPr>
                <w:lang w:val="fr-FR"/>
              </w:rPr>
            </w:pPr>
            <w:r w:rsidRPr="00A7542D">
              <w:rPr>
                <w:rFonts w:ascii="Calibri" w:hAnsi="Calibri" w:cs="Calibri"/>
                <w:lang w:val="fr-FR"/>
              </w:rPr>
              <w:t xml:space="preserve">Le projet implique une collaboration étroite entre plusieurs acteurs et actrices (par ex. responsables de filières, </w:t>
            </w:r>
            <w:r w:rsidR="005772B9" w:rsidRPr="005772B9">
              <w:rPr>
                <w:rFonts w:ascii="Calibri" w:hAnsi="Calibri" w:cs="Calibri"/>
                <w:lang w:val="fr-CH"/>
              </w:rPr>
              <w:t>formateurs/-trices</w:t>
            </w:r>
            <w:r w:rsidRPr="00A7542D">
              <w:rPr>
                <w:rFonts w:ascii="Calibri" w:hAnsi="Calibri" w:cs="Calibri"/>
                <w:lang w:val="fr-FR"/>
              </w:rPr>
              <w:t xml:space="preserve"> d’autres domaines ou hautes écoles) dans le cadre de l’enseignement.</w:t>
            </w:r>
          </w:p>
        </w:tc>
      </w:tr>
      <w:tr w:rsidR="0064706E" w:rsidRPr="001728B2" w14:paraId="3AB061CE" w14:textId="77777777" w:rsidTr="00D11B74">
        <w:tc>
          <w:tcPr>
            <w:tcW w:w="2122" w:type="dxa"/>
          </w:tcPr>
          <w:p w14:paraId="7350F0B3" w14:textId="0A501EB5" w:rsidR="0064706E" w:rsidRDefault="0064706E" w:rsidP="0064706E">
            <w:pPr>
              <w:spacing w:after="240"/>
              <w:rPr>
                <w:lang w:val="fr-FR"/>
              </w:rPr>
            </w:pPr>
            <w:r w:rsidRPr="00A7542D">
              <w:rPr>
                <w:rFonts w:ascii="Calibri" w:hAnsi="Calibri" w:cs="Calibri"/>
                <w:b/>
                <w:bCs/>
                <w:lang w:val="fr-FR"/>
              </w:rPr>
              <w:t>Orientation vers la mise en œuvre</w:t>
            </w:r>
          </w:p>
        </w:tc>
        <w:tc>
          <w:tcPr>
            <w:tcW w:w="6945" w:type="dxa"/>
          </w:tcPr>
          <w:p w14:paraId="032EEFC1" w14:textId="008BDC05" w:rsidR="0064706E" w:rsidRPr="0064706E" w:rsidRDefault="0064706E" w:rsidP="0064706E">
            <w:pPr>
              <w:spacing w:after="240"/>
              <w:jc w:val="both"/>
              <w:rPr>
                <w:rFonts w:ascii="Calibri" w:hAnsi="Calibri" w:cs="Calibri"/>
                <w:lang w:val="fr-FR"/>
              </w:rPr>
            </w:pPr>
            <w:r w:rsidRPr="00A7542D">
              <w:rPr>
                <w:rFonts w:ascii="Calibri" w:hAnsi="Calibri" w:cs="Calibri"/>
                <w:lang w:val="fr-FR"/>
              </w:rPr>
              <w:t>Le projet illustre des pistes concrètes de mise en œuvre pour la conception des offres d’apprentissage de demain.</w:t>
            </w:r>
          </w:p>
        </w:tc>
      </w:tr>
      <w:tr w:rsidR="0064706E" w:rsidRPr="001728B2" w14:paraId="7C46BB6C" w14:textId="77777777" w:rsidTr="00D11B74">
        <w:tc>
          <w:tcPr>
            <w:tcW w:w="2122" w:type="dxa"/>
          </w:tcPr>
          <w:p w14:paraId="1BA4F980" w14:textId="35F5D2CD" w:rsidR="0064706E" w:rsidRDefault="0064706E" w:rsidP="0064706E">
            <w:pPr>
              <w:spacing w:after="240"/>
              <w:rPr>
                <w:lang w:val="fr-FR"/>
              </w:rPr>
            </w:pPr>
            <w:r w:rsidRPr="00A7542D">
              <w:rPr>
                <w:rFonts w:ascii="Calibri" w:hAnsi="Calibri" w:cs="Calibri"/>
                <w:b/>
                <w:bCs/>
                <w:lang w:val="fr-FR"/>
              </w:rPr>
              <w:t>Transférabilité / Caractère exemplaire</w:t>
            </w:r>
          </w:p>
        </w:tc>
        <w:tc>
          <w:tcPr>
            <w:tcW w:w="6945" w:type="dxa"/>
          </w:tcPr>
          <w:p w14:paraId="23046FEE" w14:textId="24995AA0" w:rsidR="0064706E" w:rsidRPr="0064706E" w:rsidRDefault="0064706E" w:rsidP="0064706E">
            <w:pPr>
              <w:spacing w:after="240"/>
              <w:ind w:firstLine="7"/>
              <w:jc w:val="both"/>
              <w:rPr>
                <w:rFonts w:ascii="Calibri" w:hAnsi="Calibri" w:cs="Calibri"/>
                <w:lang w:val="fr-FR"/>
              </w:rPr>
            </w:pPr>
            <w:r w:rsidRPr="00A7542D">
              <w:rPr>
                <w:rFonts w:ascii="Calibri" w:hAnsi="Calibri" w:cs="Calibri"/>
                <w:lang w:val="fr-FR"/>
              </w:rPr>
              <w:t xml:space="preserve">Le projet présente </w:t>
            </w:r>
            <w:r>
              <w:rPr>
                <w:rFonts w:ascii="Calibri" w:hAnsi="Calibri" w:cs="Calibri"/>
                <w:lang w:val="fr-FR"/>
              </w:rPr>
              <w:t>est</w:t>
            </w:r>
            <w:r w:rsidRPr="00A7542D">
              <w:rPr>
                <w:rFonts w:ascii="Calibri" w:hAnsi="Calibri" w:cs="Calibri"/>
                <w:lang w:val="fr-FR"/>
              </w:rPr>
              <w:t xml:space="preserve"> exemplaire pour le développement de la formation des </w:t>
            </w:r>
            <w:r w:rsidRPr="00A7542D">
              <w:rPr>
                <w:lang w:val="fr-FR"/>
              </w:rPr>
              <w:t xml:space="preserve">enseignant·e·s </w:t>
            </w:r>
            <w:r w:rsidRPr="00A7542D">
              <w:rPr>
                <w:rFonts w:ascii="Calibri" w:hAnsi="Calibri" w:cs="Calibri"/>
                <w:lang w:val="fr-FR"/>
              </w:rPr>
              <w:t>et peut être transféré à d’autres contextes.</w:t>
            </w:r>
          </w:p>
        </w:tc>
      </w:tr>
    </w:tbl>
    <w:p w14:paraId="1DE090E4" w14:textId="77777777" w:rsidR="0064706E" w:rsidRDefault="0064706E" w:rsidP="004B0BC8">
      <w:pPr>
        <w:jc w:val="both"/>
        <w:rPr>
          <w:lang w:val="fr-FR"/>
        </w:rPr>
      </w:pPr>
    </w:p>
    <w:p w14:paraId="36DFCC23" w14:textId="79E4068D" w:rsidR="004B0BC8" w:rsidRPr="00A7542D" w:rsidRDefault="00A7542D" w:rsidP="004B0BC8">
      <w:pPr>
        <w:rPr>
          <w:rFonts w:ascii="Calibri" w:hAnsi="Calibri" w:cs="Calibri"/>
          <w:b/>
          <w:bCs/>
          <w:lang w:val="fr-FR"/>
        </w:rPr>
      </w:pPr>
      <w:r w:rsidRPr="00A7542D">
        <w:rPr>
          <w:lang w:val="fr-FR"/>
        </w:rPr>
        <w:t>La description du projet précise sur quelles bases théoriques il s’appuie. Le projet lui-même est en phase de mise en œuvre ou a été réalisé il y a moins de deux ans, ou bien il peut être démontré que ses résultats présentent une utilité à plus long terme.</w:t>
      </w:r>
    </w:p>
    <w:p w14:paraId="72540595" w14:textId="77777777" w:rsidR="0064706E" w:rsidRDefault="0064706E" w:rsidP="004B0BC8">
      <w:pPr>
        <w:rPr>
          <w:b/>
          <w:bCs/>
          <w:lang w:val="fr-CH"/>
        </w:rPr>
      </w:pPr>
    </w:p>
    <w:p w14:paraId="42A7287E" w14:textId="7862689B" w:rsidR="004B0BC8" w:rsidRPr="0064706E" w:rsidRDefault="004B0BC8" w:rsidP="004B0BC8">
      <w:pPr>
        <w:rPr>
          <w:rFonts w:ascii="Calibri" w:hAnsi="Calibri" w:cs="Calibri"/>
          <w:b/>
          <w:bCs/>
          <w:lang w:val="fr-CH"/>
        </w:rPr>
      </w:pPr>
      <w:r w:rsidRPr="0064706E">
        <w:rPr>
          <w:b/>
          <w:bCs/>
          <w:lang w:val="fr-CH"/>
        </w:rPr>
        <w:t>Processus d’évaluation</w:t>
      </w:r>
    </w:p>
    <w:p w14:paraId="78A27B27" w14:textId="5B8FA68C" w:rsidR="00A7542D" w:rsidRPr="00A7542D" w:rsidRDefault="00A7542D" w:rsidP="00A7542D">
      <w:pPr>
        <w:jc w:val="both"/>
        <w:rPr>
          <w:lang w:val="fr-FR"/>
        </w:rPr>
      </w:pPr>
      <w:r w:rsidRPr="00A7542D">
        <w:rPr>
          <w:lang w:val="fr-FR"/>
        </w:rPr>
        <w:t xml:space="preserve">L’évaluation des projets soumis s’effectue en trois étapes par le comité de la </w:t>
      </w:r>
      <w:r w:rsidR="002A6ACD">
        <w:rPr>
          <w:lang w:val="fr-FR"/>
        </w:rPr>
        <w:t>SSFE</w:t>
      </w:r>
      <w:r w:rsidRPr="00A7542D">
        <w:rPr>
          <w:lang w:val="fr-FR"/>
        </w:rPr>
        <w:t xml:space="preserve"> :</w:t>
      </w:r>
    </w:p>
    <w:p w14:paraId="0C5B7517" w14:textId="77777777" w:rsidR="00A7542D" w:rsidRPr="00A7542D" w:rsidRDefault="00A7542D" w:rsidP="00A7542D">
      <w:pPr>
        <w:numPr>
          <w:ilvl w:val="0"/>
          <w:numId w:val="5"/>
        </w:numPr>
        <w:jc w:val="both"/>
        <w:rPr>
          <w:lang w:val="fr-FR"/>
        </w:rPr>
      </w:pPr>
      <w:r w:rsidRPr="00A7542D">
        <w:rPr>
          <w:lang w:val="fr-FR"/>
        </w:rPr>
        <w:t>Des binômes composés de deux membres du comité procèdent à une première évaluation des projets qui leur ont été attribués de manière aléatoire et recommandent certains projets pour le prix.</w:t>
      </w:r>
    </w:p>
    <w:p w14:paraId="2BA7B8D1" w14:textId="77777777" w:rsidR="00A7542D" w:rsidRPr="00A7542D" w:rsidRDefault="00A7542D" w:rsidP="00A7542D">
      <w:pPr>
        <w:numPr>
          <w:ilvl w:val="0"/>
          <w:numId w:val="5"/>
        </w:numPr>
        <w:jc w:val="both"/>
        <w:rPr>
          <w:lang w:val="fr-FR"/>
        </w:rPr>
      </w:pPr>
      <w:r w:rsidRPr="00A7542D">
        <w:rPr>
          <w:lang w:val="fr-FR"/>
        </w:rPr>
        <w:lastRenderedPageBreak/>
        <w:t>Deux autres membres du comité, qui n’ont pas participé à la première évaluation, examinent les projets recommandés (étape 1) et nominent trois projets en vue de la décision finale du comité.</w:t>
      </w:r>
    </w:p>
    <w:p w14:paraId="5C69EC03" w14:textId="77777777" w:rsidR="00A7542D" w:rsidRPr="00A7542D" w:rsidRDefault="00A7542D" w:rsidP="00A7542D">
      <w:pPr>
        <w:numPr>
          <w:ilvl w:val="0"/>
          <w:numId w:val="5"/>
        </w:numPr>
        <w:jc w:val="both"/>
        <w:rPr>
          <w:lang w:val="fr-FR"/>
        </w:rPr>
      </w:pPr>
      <w:r w:rsidRPr="00A7542D">
        <w:rPr>
          <w:lang w:val="fr-FR"/>
        </w:rPr>
        <w:t>Le comité, réuni en séance plénière, décide collectivement lequel des trois projets nominés reçoit le prix de l’enseignement.</w:t>
      </w:r>
    </w:p>
    <w:p w14:paraId="1693B13F" w14:textId="164A6DC9" w:rsidR="004B0BC8" w:rsidRPr="00A7542D" w:rsidRDefault="00A7542D" w:rsidP="004B0BC8">
      <w:pPr>
        <w:jc w:val="both"/>
        <w:rPr>
          <w:rFonts w:ascii="Calibri" w:hAnsi="Calibri" w:cs="Calibri"/>
          <w:highlight w:val="yellow"/>
          <w:lang w:val="fr-FR"/>
        </w:rPr>
      </w:pPr>
      <w:r w:rsidRPr="00A7542D">
        <w:rPr>
          <w:lang w:val="fr-FR"/>
        </w:rPr>
        <w:t>La remise des prix aura lieu dans le cadre de l’assemblée générale des membres de la S</w:t>
      </w:r>
      <w:r w:rsidR="000B0E41">
        <w:rPr>
          <w:lang w:val="fr-FR"/>
        </w:rPr>
        <w:t>SFE</w:t>
      </w:r>
      <w:r w:rsidRPr="00A7542D">
        <w:rPr>
          <w:lang w:val="fr-FR"/>
        </w:rPr>
        <w:t>, qui se tient chaque année en mars/avril. La date exacte sera communiquée à l’avance.</w:t>
      </w:r>
    </w:p>
    <w:p w14:paraId="3B038E6F" w14:textId="77777777" w:rsidR="004B0BC8" w:rsidRPr="00A7542D" w:rsidRDefault="004B0BC8" w:rsidP="004B0BC8">
      <w:pPr>
        <w:rPr>
          <w:rFonts w:ascii="Calibri" w:hAnsi="Calibri" w:cs="Calibri"/>
          <w:b/>
          <w:lang w:val="fr-FR"/>
        </w:rPr>
      </w:pPr>
      <w:r w:rsidRPr="00A7542D">
        <w:rPr>
          <w:lang w:val="fr-FR"/>
        </w:rPr>
        <w:t>Soumission des projets et diffusion des résultats</w:t>
      </w:r>
    </w:p>
    <w:p w14:paraId="1CE81547" w14:textId="78863965" w:rsidR="00A7542D" w:rsidRPr="00A7542D" w:rsidRDefault="00A7542D" w:rsidP="00A7542D">
      <w:pPr>
        <w:pStyle w:val="Listenabsatz"/>
        <w:numPr>
          <w:ilvl w:val="0"/>
          <w:numId w:val="6"/>
        </w:numPr>
        <w:rPr>
          <w:lang w:val="fr-FR"/>
        </w:rPr>
      </w:pPr>
      <w:r w:rsidRPr="00A7542D">
        <w:rPr>
          <w:lang w:val="fr-FR"/>
        </w:rPr>
        <w:t>Maximum quatre pages A4 en respectant les critères mentionnés ci-dessus.</w:t>
      </w:r>
    </w:p>
    <w:p w14:paraId="0E850503" w14:textId="7D10EA93" w:rsidR="00A7542D" w:rsidRPr="00A7542D" w:rsidRDefault="00A7542D" w:rsidP="00A7542D">
      <w:pPr>
        <w:pStyle w:val="Listenabsatz"/>
        <w:numPr>
          <w:ilvl w:val="0"/>
          <w:numId w:val="6"/>
        </w:numPr>
        <w:rPr>
          <w:lang w:val="fr-FR"/>
        </w:rPr>
      </w:pPr>
      <w:r w:rsidRPr="00A7542D">
        <w:rPr>
          <w:lang w:val="fr-FR"/>
        </w:rPr>
        <w:t xml:space="preserve">Au plus tard le 28 novembre 2025 : soumission des projets au </w:t>
      </w:r>
      <w:r w:rsidR="000B0E41">
        <w:rPr>
          <w:lang w:val="fr-FR"/>
        </w:rPr>
        <w:t>comité de la SSFE</w:t>
      </w:r>
      <w:r w:rsidRPr="00A7542D">
        <w:rPr>
          <w:lang w:val="fr-FR"/>
        </w:rPr>
        <w:t xml:space="preserve"> (</w:t>
      </w:r>
      <w:hyperlink r:id="rId11" w:history="1">
        <w:r w:rsidRPr="005B2163">
          <w:rPr>
            <w:rStyle w:val="Hyperlink"/>
            <w:lang w:val="fr-FR"/>
          </w:rPr>
          <w:t>info@sgl-online.ch</w:t>
        </w:r>
      </w:hyperlink>
      <w:r w:rsidRPr="00A7542D">
        <w:rPr>
          <w:lang w:val="fr-FR"/>
        </w:rPr>
        <w:t>).</w:t>
      </w:r>
    </w:p>
    <w:p w14:paraId="201DEAC1" w14:textId="1611B06B" w:rsidR="00A7542D" w:rsidRPr="00A7542D" w:rsidRDefault="00A7542D" w:rsidP="00A7542D">
      <w:pPr>
        <w:pStyle w:val="Listenabsatz"/>
        <w:numPr>
          <w:ilvl w:val="0"/>
          <w:numId w:val="6"/>
        </w:numPr>
        <w:rPr>
          <w:lang w:val="fr-FR"/>
        </w:rPr>
      </w:pPr>
      <w:r w:rsidRPr="00A7542D">
        <w:rPr>
          <w:lang w:val="fr-FR"/>
        </w:rPr>
        <w:t>Janvier/février 2026 : retour à tous les participa</w:t>
      </w:r>
      <w:r w:rsidR="000B0E41" w:rsidRPr="00A7542D">
        <w:rPr>
          <w:lang w:val="fr-FR"/>
        </w:rPr>
        <w:t>nt·e·s</w:t>
      </w:r>
      <w:r w:rsidR="000B0E41">
        <w:rPr>
          <w:lang w:val="fr-FR"/>
        </w:rPr>
        <w:t>.</w:t>
      </w:r>
    </w:p>
    <w:p w14:paraId="36C3BD77" w14:textId="6B6E1A91" w:rsidR="00A7542D" w:rsidRPr="00A7542D" w:rsidRDefault="00A7542D" w:rsidP="00A7542D">
      <w:pPr>
        <w:pStyle w:val="Listenabsatz"/>
        <w:numPr>
          <w:ilvl w:val="0"/>
          <w:numId w:val="6"/>
        </w:numPr>
        <w:rPr>
          <w:lang w:val="fr-FR"/>
        </w:rPr>
      </w:pPr>
      <w:r w:rsidRPr="00A7542D">
        <w:rPr>
          <w:lang w:val="fr-FR"/>
        </w:rPr>
        <w:t>Mars/avril 2026 : remise des prix dans le cadre de l’assemblée générale de la S</w:t>
      </w:r>
      <w:r w:rsidR="000B0E41">
        <w:rPr>
          <w:lang w:val="fr-FR"/>
        </w:rPr>
        <w:t>SFE</w:t>
      </w:r>
      <w:r w:rsidR="00592C85">
        <w:rPr>
          <w:lang w:val="fr-FR"/>
        </w:rPr>
        <w:t>.</w:t>
      </w:r>
    </w:p>
    <w:p w14:paraId="0E483F6C" w14:textId="44752936" w:rsidR="00A7542D" w:rsidRPr="00A7542D" w:rsidRDefault="00A7542D" w:rsidP="00A7542D">
      <w:pPr>
        <w:pStyle w:val="Listenabsatz"/>
        <w:numPr>
          <w:ilvl w:val="0"/>
          <w:numId w:val="6"/>
        </w:numPr>
        <w:rPr>
          <w:lang w:val="fr-FR"/>
        </w:rPr>
      </w:pPr>
      <w:r w:rsidRPr="00A7542D">
        <w:rPr>
          <w:lang w:val="fr-FR"/>
        </w:rPr>
        <w:t>Tous les projets soumis seront mentionnés dans la newsletter de la S</w:t>
      </w:r>
      <w:r w:rsidR="000B0E41">
        <w:rPr>
          <w:lang w:val="fr-FR"/>
        </w:rPr>
        <w:t>SFE</w:t>
      </w:r>
      <w:r w:rsidRPr="00A7542D">
        <w:rPr>
          <w:lang w:val="fr-FR"/>
        </w:rPr>
        <w:t xml:space="preserve"> et sur le site web après la remise des prix.</w:t>
      </w:r>
    </w:p>
    <w:p w14:paraId="04B5C6C3" w14:textId="51BBEE40" w:rsidR="00A7542D" w:rsidRPr="00A7542D" w:rsidRDefault="00A7542D" w:rsidP="00A7542D">
      <w:pPr>
        <w:pStyle w:val="Listenabsatz"/>
        <w:numPr>
          <w:ilvl w:val="0"/>
          <w:numId w:val="6"/>
        </w:numPr>
        <w:rPr>
          <w:lang w:val="fr-FR"/>
        </w:rPr>
      </w:pPr>
      <w:r w:rsidRPr="00A7542D">
        <w:rPr>
          <w:lang w:val="fr-FR"/>
        </w:rPr>
        <w:t>Les projets déjà soumis peuvent également être proposés à nouveau, à condition qu’une évolution qualitative ait eu lieu depuis la première soumission.</w:t>
      </w:r>
    </w:p>
    <w:p w14:paraId="4C96E6FA" w14:textId="430EEB69" w:rsidR="00A7542D" w:rsidRPr="00A7542D" w:rsidRDefault="00A7542D" w:rsidP="00A7542D">
      <w:pPr>
        <w:pStyle w:val="Listenabsatz"/>
        <w:numPr>
          <w:ilvl w:val="0"/>
          <w:numId w:val="6"/>
        </w:numPr>
        <w:rPr>
          <w:lang w:val="fr-FR"/>
        </w:rPr>
      </w:pPr>
      <w:r w:rsidRPr="00A7542D">
        <w:rPr>
          <w:lang w:val="fr-FR"/>
        </w:rPr>
        <w:t>Montant du prix pour un projet individuel : 2000 CHF.</w:t>
      </w:r>
    </w:p>
    <w:p w14:paraId="5427F13E" w14:textId="2FEAE65B" w:rsidR="00A7542D" w:rsidRPr="00A7542D" w:rsidRDefault="00A7542D" w:rsidP="00A7542D">
      <w:pPr>
        <w:pStyle w:val="Listenabsatz"/>
        <w:numPr>
          <w:ilvl w:val="0"/>
          <w:numId w:val="6"/>
        </w:numPr>
        <w:rPr>
          <w:lang w:val="fr-FR"/>
        </w:rPr>
      </w:pPr>
      <w:r w:rsidRPr="00A7542D">
        <w:rPr>
          <w:lang w:val="fr-FR"/>
        </w:rPr>
        <w:t>Montant du prix pour un projet de groupe (à partir de 2 personnes) : 5000 CHF.</w:t>
      </w:r>
    </w:p>
    <w:p w14:paraId="602A7AB2" w14:textId="77777777" w:rsidR="004B0BC8" w:rsidRPr="00A7542D" w:rsidRDefault="004B0BC8" w:rsidP="004B0BC8">
      <w:pPr>
        <w:rPr>
          <w:rFonts w:ascii="Calibri" w:hAnsi="Calibri" w:cs="Calibri"/>
          <w:highlight w:val="yellow"/>
          <w:lang w:val="fr-FR"/>
        </w:rPr>
      </w:pPr>
    </w:p>
    <w:p w14:paraId="58B1DAAD" w14:textId="77777777" w:rsidR="00093136" w:rsidRPr="00A7542D" w:rsidRDefault="00093136">
      <w:pPr>
        <w:rPr>
          <w:lang w:val="fr-FR"/>
        </w:rPr>
      </w:pPr>
    </w:p>
    <w:sectPr w:rsidR="00093136" w:rsidRPr="00A7542D" w:rsidSect="00733B78">
      <w:headerReference w:type="default" r:id="rId12"/>
      <w:pgSz w:w="11906" w:h="16838"/>
      <w:pgMar w:top="357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B685" w14:textId="77777777" w:rsidR="007A2FDF" w:rsidRDefault="007A2FDF" w:rsidP="00093136">
      <w:pPr>
        <w:spacing w:after="0" w:line="240" w:lineRule="auto"/>
      </w:pPr>
      <w:r>
        <w:separator/>
      </w:r>
    </w:p>
  </w:endnote>
  <w:endnote w:type="continuationSeparator" w:id="0">
    <w:p w14:paraId="57F07E72" w14:textId="77777777" w:rsidR="007A2FDF" w:rsidRDefault="007A2FDF" w:rsidP="0009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B5B6" w14:textId="77777777" w:rsidR="007A2FDF" w:rsidRDefault="007A2FDF" w:rsidP="00093136">
      <w:pPr>
        <w:spacing w:after="0" w:line="240" w:lineRule="auto"/>
      </w:pPr>
      <w:r>
        <w:separator/>
      </w:r>
    </w:p>
  </w:footnote>
  <w:footnote w:type="continuationSeparator" w:id="0">
    <w:p w14:paraId="22A2DE46" w14:textId="77777777" w:rsidR="007A2FDF" w:rsidRDefault="007A2FDF" w:rsidP="00093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A000" w14:textId="77777777" w:rsidR="00093136" w:rsidRDefault="00093136" w:rsidP="00093136">
    <w:pPr>
      <w:pStyle w:val="Kopfzeile"/>
      <w:jc w:val="right"/>
    </w:pPr>
    <w:r>
      <w:rPr>
        <w:noProof/>
      </w:rPr>
      <w:drawing>
        <wp:inline distT="0" distB="0" distL="0" distR="0" wp14:anchorId="037E23BB" wp14:editId="192D7D4D">
          <wp:extent cx="3572510" cy="1369475"/>
          <wp:effectExtent l="0" t="0" r="0" b="2540"/>
          <wp:docPr id="19162484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11957" name="Grafik 1926211957"/>
                  <pic:cNvPicPr/>
                </pic:nvPicPr>
                <pic:blipFill>
                  <a:blip r:embed="rId1">
                    <a:extLst>
                      <a:ext uri="{28A0092B-C50C-407E-A947-70E740481C1C}">
                        <a14:useLocalDpi xmlns:a14="http://schemas.microsoft.com/office/drawing/2010/main" val="0"/>
                      </a:ext>
                    </a:extLst>
                  </a:blip>
                  <a:stretch>
                    <a:fillRect/>
                  </a:stretch>
                </pic:blipFill>
                <pic:spPr>
                  <a:xfrm>
                    <a:off x="0" y="0"/>
                    <a:ext cx="3587154" cy="1375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54D"/>
    <w:multiLevelType w:val="hybridMultilevel"/>
    <w:tmpl w:val="90D4AF20"/>
    <w:lvl w:ilvl="0" w:tplc="23FAA800">
      <w:start w:val="1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468D3"/>
    <w:multiLevelType w:val="hybridMultilevel"/>
    <w:tmpl w:val="29C8351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61711AB"/>
    <w:multiLevelType w:val="hybridMultilevel"/>
    <w:tmpl w:val="BFD4B4CE"/>
    <w:lvl w:ilvl="0" w:tplc="FFFFFFFF">
      <w:start w:val="1"/>
      <w:numFmt w:val="bullet"/>
      <w:lvlText w:val=""/>
      <w:lvlJc w:val="left"/>
      <w:pPr>
        <w:ind w:left="720" w:hanging="360"/>
      </w:pPr>
      <w:rPr>
        <w:rFonts w:ascii="Symbol" w:hAnsi="Symbol" w:hint="default"/>
      </w:rPr>
    </w:lvl>
    <w:lvl w:ilvl="1" w:tplc="3E52336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970204"/>
    <w:multiLevelType w:val="multilevel"/>
    <w:tmpl w:val="E7EE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A0603D"/>
    <w:multiLevelType w:val="multilevel"/>
    <w:tmpl w:val="88F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DD0DDE"/>
    <w:multiLevelType w:val="hybridMultilevel"/>
    <w:tmpl w:val="42344E54"/>
    <w:lvl w:ilvl="0" w:tplc="3E52336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7892337">
    <w:abstractNumId w:val="4"/>
  </w:num>
  <w:num w:numId="2" w16cid:durableId="609896583">
    <w:abstractNumId w:val="2"/>
  </w:num>
  <w:num w:numId="3" w16cid:durableId="162548191">
    <w:abstractNumId w:val="5"/>
  </w:num>
  <w:num w:numId="4" w16cid:durableId="1139104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264462">
    <w:abstractNumId w:val="3"/>
  </w:num>
  <w:num w:numId="6" w16cid:durableId="208544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91"/>
    <w:rsid w:val="0001269A"/>
    <w:rsid w:val="00093136"/>
    <w:rsid w:val="000B0E41"/>
    <w:rsid w:val="000C70B9"/>
    <w:rsid w:val="000E0190"/>
    <w:rsid w:val="00101034"/>
    <w:rsid w:val="00116014"/>
    <w:rsid w:val="001703A4"/>
    <w:rsid w:val="001728B2"/>
    <w:rsid w:val="00184D55"/>
    <w:rsid w:val="002A6ACD"/>
    <w:rsid w:val="002F24BD"/>
    <w:rsid w:val="00361CD3"/>
    <w:rsid w:val="00377ED9"/>
    <w:rsid w:val="003A1360"/>
    <w:rsid w:val="003C1F6C"/>
    <w:rsid w:val="004209B1"/>
    <w:rsid w:val="0042338D"/>
    <w:rsid w:val="00424491"/>
    <w:rsid w:val="004416F1"/>
    <w:rsid w:val="004511BA"/>
    <w:rsid w:val="00455920"/>
    <w:rsid w:val="004A27EE"/>
    <w:rsid w:val="004B0BC8"/>
    <w:rsid w:val="004D0C91"/>
    <w:rsid w:val="00517F7F"/>
    <w:rsid w:val="00574E8E"/>
    <w:rsid w:val="005772B9"/>
    <w:rsid w:val="00592C85"/>
    <w:rsid w:val="005C11C2"/>
    <w:rsid w:val="0064706E"/>
    <w:rsid w:val="00663818"/>
    <w:rsid w:val="006B5038"/>
    <w:rsid w:val="006F7C5E"/>
    <w:rsid w:val="00733B78"/>
    <w:rsid w:val="007A2FDF"/>
    <w:rsid w:val="00803A95"/>
    <w:rsid w:val="00822F1F"/>
    <w:rsid w:val="00832B18"/>
    <w:rsid w:val="008E3D2F"/>
    <w:rsid w:val="00917190"/>
    <w:rsid w:val="00961FEC"/>
    <w:rsid w:val="00A33945"/>
    <w:rsid w:val="00A33B29"/>
    <w:rsid w:val="00A7542D"/>
    <w:rsid w:val="00AC136F"/>
    <w:rsid w:val="00C028E5"/>
    <w:rsid w:val="00C60DCB"/>
    <w:rsid w:val="00C95B99"/>
    <w:rsid w:val="00CC27FD"/>
    <w:rsid w:val="00CD4B40"/>
    <w:rsid w:val="00D11B74"/>
    <w:rsid w:val="00D53C29"/>
    <w:rsid w:val="00D8460B"/>
    <w:rsid w:val="00D863C1"/>
    <w:rsid w:val="00D933A8"/>
    <w:rsid w:val="00DB4DF0"/>
    <w:rsid w:val="00DF6335"/>
    <w:rsid w:val="00E178BE"/>
    <w:rsid w:val="00E26441"/>
    <w:rsid w:val="00E46FB1"/>
    <w:rsid w:val="00F220E8"/>
    <w:rsid w:val="00F50F2E"/>
    <w:rsid w:val="00FB6B2D"/>
    <w:rsid w:val="00FB6FD4"/>
    <w:rsid w:val="00FC7D61"/>
    <w:rsid w:val="00FE23B1"/>
    <w:rsid w:val="00FF4F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57983"/>
  <w15:chartTrackingRefBased/>
  <w15:docId w15:val="{DD83882B-C6EA-4C30-AF09-E8D916AD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136"/>
    <w:rPr>
      <w:kern w:val="0"/>
      <w14:ligatures w14:val="none"/>
    </w:rPr>
  </w:style>
  <w:style w:type="paragraph" w:styleId="berschrift1">
    <w:name w:val="heading 1"/>
    <w:basedOn w:val="Standard"/>
    <w:next w:val="Standard"/>
    <w:link w:val="berschrift1Zchn"/>
    <w:uiPriority w:val="9"/>
    <w:qFormat/>
    <w:rsid w:val="004D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D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0C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0C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0C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0C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0C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0C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0C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0C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D0C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D0C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0C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0C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0C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0C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0C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0C91"/>
    <w:rPr>
      <w:rFonts w:eastAsiaTheme="majorEastAsia" w:cstheme="majorBidi"/>
      <w:color w:val="272727" w:themeColor="text1" w:themeTint="D8"/>
    </w:rPr>
  </w:style>
  <w:style w:type="paragraph" w:styleId="Titel">
    <w:name w:val="Title"/>
    <w:basedOn w:val="Standard"/>
    <w:next w:val="Standard"/>
    <w:link w:val="TitelZchn"/>
    <w:uiPriority w:val="10"/>
    <w:qFormat/>
    <w:rsid w:val="004D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0C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0C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0C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0C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0C91"/>
    <w:rPr>
      <w:i/>
      <w:iCs/>
      <w:color w:val="404040" w:themeColor="text1" w:themeTint="BF"/>
    </w:rPr>
  </w:style>
  <w:style w:type="paragraph" w:styleId="Listenabsatz">
    <w:name w:val="List Paragraph"/>
    <w:basedOn w:val="Standard"/>
    <w:uiPriority w:val="34"/>
    <w:qFormat/>
    <w:rsid w:val="004D0C91"/>
    <w:pPr>
      <w:ind w:left="720"/>
      <w:contextualSpacing/>
    </w:pPr>
  </w:style>
  <w:style w:type="character" w:styleId="IntensiveHervorhebung">
    <w:name w:val="Intense Emphasis"/>
    <w:basedOn w:val="Absatz-Standardschriftart"/>
    <w:uiPriority w:val="21"/>
    <w:qFormat/>
    <w:rsid w:val="004D0C91"/>
    <w:rPr>
      <w:i/>
      <w:iCs/>
      <w:color w:val="0F4761" w:themeColor="accent1" w:themeShade="BF"/>
    </w:rPr>
  </w:style>
  <w:style w:type="paragraph" w:styleId="IntensivesZitat">
    <w:name w:val="Intense Quote"/>
    <w:basedOn w:val="Standard"/>
    <w:next w:val="Standard"/>
    <w:link w:val="IntensivesZitatZchn"/>
    <w:uiPriority w:val="30"/>
    <w:qFormat/>
    <w:rsid w:val="004D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0C91"/>
    <w:rPr>
      <w:i/>
      <w:iCs/>
      <w:color w:val="0F4761" w:themeColor="accent1" w:themeShade="BF"/>
    </w:rPr>
  </w:style>
  <w:style w:type="character" w:styleId="IntensiverVerweis">
    <w:name w:val="Intense Reference"/>
    <w:basedOn w:val="Absatz-Standardschriftart"/>
    <w:uiPriority w:val="32"/>
    <w:qFormat/>
    <w:rsid w:val="004D0C91"/>
    <w:rPr>
      <w:b/>
      <w:bCs/>
      <w:smallCaps/>
      <w:color w:val="0F4761" w:themeColor="accent1" w:themeShade="BF"/>
      <w:spacing w:val="5"/>
    </w:rPr>
  </w:style>
  <w:style w:type="paragraph" w:styleId="Kopfzeile">
    <w:name w:val="header"/>
    <w:basedOn w:val="Standard"/>
    <w:link w:val="KopfzeileZchn"/>
    <w:uiPriority w:val="99"/>
    <w:unhideWhenUsed/>
    <w:rsid w:val="0009313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3136"/>
  </w:style>
  <w:style w:type="paragraph" w:styleId="Fuzeile">
    <w:name w:val="footer"/>
    <w:basedOn w:val="Standard"/>
    <w:link w:val="FuzeileZchn"/>
    <w:uiPriority w:val="99"/>
    <w:unhideWhenUsed/>
    <w:rsid w:val="0009313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3136"/>
  </w:style>
  <w:style w:type="paragraph" w:customStyle="1" w:styleId="pf1">
    <w:name w:val="pf1"/>
    <w:basedOn w:val="Standard"/>
    <w:rsid w:val="00093136"/>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pf0">
    <w:name w:val="pf0"/>
    <w:basedOn w:val="Standard"/>
    <w:rsid w:val="0009313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f01">
    <w:name w:val="cf01"/>
    <w:basedOn w:val="Absatz-Standardschriftart"/>
    <w:rsid w:val="00093136"/>
    <w:rPr>
      <w:rFonts w:ascii="Segoe UI" w:hAnsi="Segoe UI" w:cs="Segoe UI" w:hint="default"/>
      <w:sz w:val="18"/>
      <w:szCs w:val="18"/>
    </w:rPr>
  </w:style>
  <w:style w:type="table" w:styleId="Tabellenraster">
    <w:name w:val="Table Grid"/>
    <w:basedOn w:val="NormaleTabelle"/>
    <w:uiPriority w:val="39"/>
    <w:rsid w:val="00093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703A4"/>
    <w:pPr>
      <w:spacing w:after="0" w:line="240" w:lineRule="auto"/>
    </w:pPr>
    <w:rPr>
      <w:kern w:val="0"/>
      <w14:ligatures w14:val="none"/>
    </w:rPr>
  </w:style>
  <w:style w:type="character" w:styleId="Kommentarzeichen">
    <w:name w:val="annotation reference"/>
    <w:basedOn w:val="Absatz-Standardschriftart"/>
    <w:uiPriority w:val="99"/>
    <w:semiHidden/>
    <w:unhideWhenUsed/>
    <w:rsid w:val="00803A95"/>
    <w:rPr>
      <w:sz w:val="16"/>
      <w:szCs w:val="16"/>
    </w:rPr>
  </w:style>
  <w:style w:type="paragraph" w:styleId="Kommentartext">
    <w:name w:val="annotation text"/>
    <w:basedOn w:val="Standard"/>
    <w:link w:val="KommentartextZchn"/>
    <w:uiPriority w:val="99"/>
    <w:unhideWhenUsed/>
    <w:rsid w:val="00803A95"/>
    <w:pPr>
      <w:spacing w:line="240" w:lineRule="auto"/>
    </w:pPr>
    <w:rPr>
      <w:sz w:val="20"/>
      <w:szCs w:val="20"/>
    </w:rPr>
  </w:style>
  <w:style w:type="character" w:customStyle="1" w:styleId="KommentartextZchn">
    <w:name w:val="Kommentartext Zchn"/>
    <w:basedOn w:val="Absatz-Standardschriftart"/>
    <w:link w:val="Kommentartext"/>
    <w:uiPriority w:val="99"/>
    <w:rsid w:val="00803A9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803A95"/>
    <w:rPr>
      <w:b/>
      <w:bCs/>
    </w:rPr>
  </w:style>
  <w:style w:type="character" w:customStyle="1" w:styleId="KommentarthemaZchn">
    <w:name w:val="Kommentarthema Zchn"/>
    <w:basedOn w:val="KommentartextZchn"/>
    <w:link w:val="Kommentarthema"/>
    <w:uiPriority w:val="99"/>
    <w:semiHidden/>
    <w:rsid w:val="00803A95"/>
    <w:rPr>
      <w:b/>
      <w:bCs/>
      <w:kern w:val="0"/>
      <w:sz w:val="20"/>
      <w:szCs w:val="20"/>
      <w14:ligatures w14:val="none"/>
    </w:rPr>
  </w:style>
  <w:style w:type="character" w:styleId="Hyperlink">
    <w:name w:val="Hyperlink"/>
    <w:basedOn w:val="Absatz-Standardschriftart"/>
    <w:uiPriority w:val="99"/>
    <w:unhideWhenUsed/>
    <w:rsid w:val="008E3D2F"/>
    <w:rPr>
      <w:color w:val="467886" w:themeColor="hyperlink"/>
      <w:u w:val="single"/>
    </w:rPr>
  </w:style>
  <w:style w:type="character" w:styleId="NichtaufgelsteErwhnung">
    <w:name w:val="Unresolved Mention"/>
    <w:basedOn w:val="Absatz-Standardschriftart"/>
    <w:uiPriority w:val="99"/>
    <w:semiHidden/>
    <w:unhideWhenUsed/>
    <w:rsid w:val="008E3D2F"/>
    <w:rPr>
      <w:color w:val="605E5C"/>
      <w:shd w:val="clear" w:color="auto" w:fill="E1DFDD"/>
    </w:rPr>
  </w:style>
  <w:style w:type="character" w:styleId="Fett">
    <w:name w:val="Strong"/>
    <w:basedOn w:val="Absatz-Standardschriftart"/>
    <w:uiPriority w:val="22"/>
    <w:qFormat/>
    <w:rsid w:val="00A7542D"/>
    <w:rPr>
      <w:b/>
      <w:bCs/>
    </w:rPr>
  </w:style>
  <w:style w:type="character" w:styleId="BesuchterLink">
    <w:name w:val="FollowedHyperlink"/>
    <w:basedOn w:val="Absatz-Standardschriftart"/>
    <w:uiPriority w:val="99"/>
    <w:semiHidden/>
    <w:unhideWhenUsed/>
    <w:rsid w:val="001728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8136">
      <w:bodyDiv w:val="1"/>
      <w:marLeft w:val="0"/>
      <w:marRight w:val="0"/>
      <w:marTop w:val="0"/>
      <w:marBottom w:val="0"/>
      <w:divBdr>
        <w:top w:val="none" w:sz="0" w:space="0" w:color="auto"/>
        <w:left w:val="none" w:sz="0" w:space="0" w:color="auto"/>
        <w:bottom w:val="none" w:sz="0" w:space="0" w:color="auto"/>
        <w:right w:val="none" w:sz="0" w:space="0" w:color="auto"/>
      </w:divBdr>
    </w:div>
    <w:div w:id="455028627">
      <w:bodyDiv w:val="1"/>
      <w:marLeft w:val="0"/>
      <w:marRight w:val="0"/>
      <w:marTop w:val="0"/>
      <w:marBottom w:val="0"/>
      <w:divBdr>
        <w:top w:val="none" w:sz="0" w:space="0" w:color="auto"/>
        <w:left w:val="none" w:sz="0" w:space="0" w:color="auto"/>
        <w:bottom w:val="none" w:sz="0" w:space="0" w:color="auto"/>
        <w:right w:val="none" w:sz="0" w:space="0" w:color="auto"/>
      </w:divBdr>
    </w:div>
    <w:div w:id="1049306147">
      <w:bodyDiv w:val="1"/>
      <w:marLeft w:val="0"/>
      <w:marRight w:val="0"/>
      <w:marTop w:val="0"/>
      <w:marBottom w:val="0"/>
      <w:divBdr>
        <w:top w:val="none" w:sz="0" w:space="0" w:color="auto"/>
        <w:left w:val="none" w:sz="0" w:space="0" w:color="auto"/>
        <w:bottom w:val="none" w:sz="0" w:space="0" w:color="auto"/>
        <w:right w:val="none" w:sz="0" w:space="0" w:color="auto"/>
      </w:divBdr>
    </w:div>
    <w:div w:id="1207643269">
      <w:bodyDiv w:val="1"/>
      <w:marLeft w:val="0"/>
      <w:marRight w:val="0"/>
      <w:marTop w:val="0"/>
      <w:marBottom w:val="0"/>
      <w:divBdr>
        <w:top w:val="none" w:sz="0" w:space="0" w:color="auto"/>
        <w:left w:val="none" w:sz="0" w:space="0" w:color="auto"/>
        <w:bottom w:val="none" w:sz="0" w:space="0" w:color="auto"/>
        <w:right w:val="none" w:sz="0" w:space="0" w:color="auto"/>
      </w:divBdr>
    </w:div>
    <w:div w:id="1498809494">
      <w:bodyDiv w:val="1"/>
      <w:marLeft w:val="0"/>
      <w:marRight w:val="0"/>
      <w:marTop w:val="0"/>
      <w:marBottom w:val="0"/>
      <w:divBdr>
        <w:top w:val="none" w:sz="0" w:space="0" w:color="auto"/>
        <w:left w:val="none" w:sz="0" w:space="0" w:color="auto"/>
        <w:bottom w:val="none" w:sz="0" w:space="0" w:color="auto"/>
        <w:right w:val="none" w:sz="0" w:space="0" w:color="auto"/>
      </w:divBdr>
    </w:div>
    <w:div w:id="212133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gl-online.ch" TargetMode="External"/><Relationship Id="rId5" Type="http://schemas.openxmlformats.org/officeDocument/2006/relationships/styles" Target="styles.xml"/><Relationship Id="rId10" Type="http://schemas.openxmlformats.org/officeDocument/2006/relationships/hyperlink" Target="https://sgl-online.ch/wp-content/uploads/2025/04/Auflistung-Einreichungen_pub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49dec1-d265-4322-ac27-3df96e73c9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79A18CFABD6B4586FA6801447DB525" ma:contentTypeVersion="17" ma:contentTypeDescription="Create a new document." ma:contentTypeScope="" ma:versionID="c3fb14bc95c6fb849c301f0e254fd28c">
  <xsd:schema xmlns:xsd="http://www.w3.org/2001/XMLSchema" xmlns:xs="http://www.w3.org/2001/XMLSchema" xmlns:p="http://schemas.microsoft.com/office/2006/metadata/properties" xmlns:ns3="8f1b262f-e637-4b3a-8f1b-3c6f2837f5ae" xmlns:ns4="dd49dec1-d265-4322-ac27-3df96e73c9f4" targetNamespace="http://schemas.microsoft.com/office/2006/metadata/properties" ma:root="true" ma:fieldsID="2a9a892ba013ac348db4da45fe2deb8b" ns3:_="" ns4:_="">
    <xsd:import namespace="8f1b262f-e637-4b3a-8f1b-3c6f2837f5ae"/>
    <xsd:import namespace="dd49dec1-d265-4322-ac27-3df96e73c9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_activity" minOccurs="0"/>
                <xsd:element ref="ns4:MediaLengthInSeconds" minOccurs="0"/>
                <xsd:element ref="ns4:MediaServiceDateTaken"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b262f-e637-4b3a-8f1b-3c6f2837f5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9dec1-d265-4322-ac27-3df96e73c9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CFDB4-7D1B-4FE1-8F63-046F6D32E10B}">
  <ds:schemaRefs>
    <ds:schemaRef ds:uri="http://schemas.microsoft.com/office/2006/metadata/properties"/>
    <ds:schemaRef ds:uri="http://schemas.microsoft.com/office/infopath/2007/PartnerControls"/>
    <ds:schemaRef ds:uri="dd49dec1-d265-4322-ac27-3df96e73c9f4"/>
  </ds:schemaRefs>
</ds:datastoreItem>
</file>

<file path=customXml/itemProps2.xml><?xml version="1.0" encoding="utf-8"?>
<ds:datastoreItem xmlns:ds="http://schemas.openxmlformats.org/officeDocument/2006/customXml" ds:itemID="{9D4034AC-4A12-4F67-8804-5E0615D87C50}">
  <ds:schemaRefs>
    <ds:schemaRef ds:uri="http://schemas.microsoft.com/sharepoint/v3/contenttype/forms"/>
  </ds:schemaRefs>
</ds:datastoreItem>
</file>

<file path=customXml/itemProps3.xml><?xml version="1.0" encoding="utf-8"?>
<ds:datastoreItem xmlns:ds="http://schemas.openxmlformats.org/officeDocument/2006/customXml" ds:itemID="{3B150455-4857-4A9C-8367-3578E7CBB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b262f-e637-4b3a-8f1b-3c6f2837f5ae"/>
    <ds:schemaRef ds:uri="dd49dec1-d265-4322-ac27-3df96e73c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Adam</dc:creator>
  <cp:keywords/>
  <dc:description/>
  <cp:lastModifiedBy>Adam Martin</cp:lastModifiedBy>
  <cp:revision>4</cp:revision>
  <dcterms:created xsi:type="dcterms:W3CDTF">2025-09-19T13:38:00Z</dcterms:created>
  <dcterms:modified xsi:type="dcterms:W3CDTF">2025-09-19T15:25:00Z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0x0101006779A18CFABD6B4586FA6801447DB525</vt:lpwstr>
  </property>
</Properties>
</file>